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46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900"/>
        <w:gridCol w:w="12"/>
        <w:gridCol w:w="1677"/>
        <w:gridCol w:w="782"/>
        <w:gridCol w:w="43"/>
        <w:gridCol w:w="888"/>
        <w:gridCol w:w="344"/>
        <w:gridCol w:w="968"/>
        <w:gridCol w:w="88"/>
        <w:gridCol w:w="726"/>
        <w:gridCol w:w="518"/>
        <w:gridCol w:w="188"/>
        <w:gridCol w:w="712"/>
        <w:gridCol w:w="618"/>
      </w:tblGrid>
      <w:tr w:rsidR="009F6A6B" w:rsidRPr="00A13323" w:rsidTr="005F5D8A">
        <w:tc>
          <w:tcPr>
            <w:tcW w:w="1900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before="60" w:after="60" w:line="240" w:lineRule="auto"/>
              <w:ind w:left="397" w:hanging="397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NAZIV PREDMETA</w:t>
            </w:r>
          </w:p>
        </w:tc>
        <w:tc>
          <w:tcPr>
            <w:tcW w:w="7564" w:type="dxa"/>
            <w:gridSpan w:val="13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66CCFF"/>
            <w:vAlign w:val="center"/>
          </w:tcPr>
          <w:p w:rsidR="009F6A6B" w:rsidRPr="00A13323" w:rsidRDefault="009F6A6B" w:rsidP="005F5D8A">
            <w:pPr>
              <w:spacing w:before="60" w:after="60" w:line="240" w:lineRule="auto"/>
              <w:ind w:left="397" w:hanging="397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caps/>
                <w:sz w:val="24"/>
                <w:szCs w:val="20"/>
              </w:rPr>
              <w:t>Regionalna ekonomija</w:t>
            </w:r>
          </w:p>
        </w:tc>
      </w:tr>
      <w:tr w:rsidR="009F6A6B" w:rsidRPr="00A13323" w:rsidTr="005F5D8A">
        <w:trPr>
          <w:trHeight w:val="446"/>
        </w:trPr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Style w:val="Strong"/>
                <w:rFonts w:ascii="Arial" w:hAnsi="Arial" w:cs="Arial"/>
                <w:b w:val="0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Kod</w:t>
            </w:r>
          </w:p>
        </w:tc>
        <w:tc>
          <w:tcPr>
            <w:tcW w:w="2502" w:type="dxa"/>
            <w:gridSpan w:val="3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rPr>
                <w:rFonts w:ascii="Arial" w:hAnsi="Arial" w:cs="Arial"/>
                <w:sz w:val="24"/>
                <w:szCs w:val="24"/>
              </w:rPr>
            </w:pPr>
            <w:r w:rsidRPr="00A13323">
              <w:rPr>
                <w:rFonts w:ascii="Arial" w:hAnsi="Arial" w:cs="Arial"/>
                <w:sz w:val="24"/>
                <w:szCs w:val="24"/>
              </w:rPr>
              <w:t>EUE203</w:t>
            </w:r>
          </w:p>
        </w:tc>
        <w:tc>
          <w:tcPr>
            <w:tcW w:w="2288" w:type="dxa"/>
            <w:gridSpan w:val="4"/>
            <w:tcBorders>
              <w:top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Godina studija</w:t>
            </w:r>
          </w:p>
        </w:tc>
        <w:tc>
          <w:tcPr>
            <w:tcW w:w="2762" w:type="dxa"/>
            <w:gridSpan w:val="5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3</w:t>
            </w: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Style w:val="Strong"/>
                <w:rFonts w:ascii="Arial" w:hAnsi="Arial" w:cs="Arial"/>
                <w:sz w:val="20"/>
                <w:szCs w:val="20"/>
              </w:rPr>
              <w:t>Nositelj/i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doc. dr.sc. Vinko Muštra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Bodovna vrijednost (ECTS)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45017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45017">
              <w:rPr>
                <w:rFonts w:ascii="Arial" w:hAnsi="Arial" w:cs="Arial"/>
                <w:color w:val="FF0000"/>
                <w:sz w:val="20"/>
                <w:szCs w:val="20"/>
              </w:rPr>
              <w:t>5</w:t>
            </w:r>
          </w:p>
        </w:tc>
      </w:tr>
      <w:tr w:rsidR="009F6A6B" w:rsidRPr="00A13323" w:rsidTr="005F5D8A">
        <w:trPr>
          <w:trHeight w:val="345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Suradnici</w:t>
            </w:r>
          </w:p>
        </w:tc>
        <w:tc>
          <w:tcPr>
            <w:tcW w:w="2502" w:type="dxa"/>
            <w:gridSpan w:val="3"/>
            <w:vMerge w:val="restart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2288" w:type="dxa"/>
            <w:gridSpan w:val="4"/>
            <w:vMerge w:val="restart"/>
            <w:tcBorders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Način izvođenja nastave (broj sati u semestru)</w:t>
            </w: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6A6B" w:rsidRPr="00A13323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</w:t>
            </w: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6A6B" w:rsidRPr="00A13323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V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6A6B" w:rsidRPr="00A13323" w:rsidRDefault="009F6A6B" w:rsidP="005F5D8A">
            <w:pPr>
              <w:spacing w:after="0" w:line="240" w:lineRule="auto"/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T</w:t>
            </w:r>
          </w:p>
        </w:tc>
      </w:tr>
      <w:tr w:rsidR="009F6A6B" w:rsidRPr="00A13323" w:rsidTr="005F5D8A">
        <w:trPr>
          <w:trHeight w:val="34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02" w:type="dxa"/>
            <w:gridSpan w:val="3"/>
            <w:vMerge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288" w:type="dxa"/>
            <w:gridSpan w:val="4"/>
            <w:vMerge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26" w:type="dxa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30</w:t>
            </w:r>
          </w:p>
        </w:tc>
        <w:tc>
          <w:tcPr>
            <w:tcW w:w="706" w:type="dxa"/>
            <w:gridSpan w:val="2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6A6B" w:rsidRPr="00945017" w:rsidRDefault="009F6A6B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</w:p>
        </w:tc>
        <w:tc>
          <w:tcPr>
            <w:tcW w:w="712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6A6B" w:rsidRPr="00945017" w:rsidRDefault="00C665B8" w:rsidP="005F5D8A">
            <w:pPr>
              <w:spacing w:after="0" w:line="240" w:lineRule="auto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C665B8">
              <w:rPr>
                <w:rFonts w:ascii="Arial" w:hAnsi="Arial" w:cs="Arial"/>
                <w:color w:val="FF0000"/>
                <w:sz w:val="20"/>
                <w:szCs w:val="20"/>
                <w:highlight w:val="yellow"/>
              </w:rPr>
              <w:t>30</w:t>
            </w:r>
          </w:p>
        </w:tc>
        <w:tc>
          <w:tcPr>
            <w:tcW w:w="618" w:type="dxa"/>
            <w:tcBorders>
              <w:bottom w:val="single" w:sz="12" w:space="0" w:color="auto"/>
              <w:right w:val="single" w:sz="12" w:space="0" w:color="auto"/>
            </w:tcBorders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Status predmeta</w:t>
            </w:r>
          </w:p>
        </w:tc>
        <w:tc>
          <w:tcPr>
            <w:tcW w:w="2502" w:type="dxa"/>
            <w:gridSpan w:val="3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Obvezan/izborni</w:t>
            </w:r>
          </w:p>
        </w:tc>
        <w:tc>
          <w:tcPr>
            <w:tcW w:w="2288" w:type="dxa"/>
            <w:gridSpan w:val="4"/>
            <w:tcBorders>
              <w:bottom w:val="single" w:sz="12" w:space="0" w:color="auto"/>
              <w:righ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Postotak primjene e-učenja </w:t>
            </w:r>
          </w:p>
        </w:tc>
        <w:tc>
          <w:tcPr>
            <w:tcW w:w="2762" w:type="dxa"/>
            <w:gridSpan w:val="5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9B372F" w:rsidP="005F5D8A">
            <w:pPr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945017">
              <w:rPr>
                <w:rFonts w:ascii="Arial" w:hAnsi="Arial" w:cs="Arial"/>
                <w:color w:val="FF0000"/>
                <w:sz w:val="20"/>
                <w:szCs w:val="20"/>
              </w:rPr>
              <w:t>15%</w:t>
            </w:r>
          </w:p>
        </w:tc>
      </w:tr>
      <w:tr w:rsidR="009F6A6B" w:rsidRPr="00A13323" w:rsidTr="005F5D8A">
        <w:tc>
          <w:tcPr>
            <w:tcW w:w="9464" w:type="dxa"/>
            <w:gridSpan w:val="14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  <w:shd w:val="clear" w:color="auto" w:fill="99CC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13323">
              <w:rPr>
                <w:rFonts w:ascii="Arial" w:hAnsi="Arial" w:cs="Arial"/>
                <w:b/>
                <w:sz w:val="20"/>
                <w:szCs w:val="20"/>
              </w:rPr>
              <w:t>OPIS PREDMETA</w:t>
            </w: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Ciljevi predmeta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Upoznati studenta s osnovnim elementima </w:t>
            </w:r>
            <w:r w:rsidR="00713320">
              <w:rPr>
                <w:rFonts w:ascii="Arial" w:hAnsi="Arial" w:cs="Arial"/>
                <w:sz w:val="20"/>
                <w:szCs w:val="20"/>
              </w:rPr>
              <w:t>teorijskog i empirijskog okvira regionalne ekonomije.</w:t>
            </w: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Uvjeti za upis predmeta i ulazne kompetencije potrebne za predmet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Preduvjeti za upis propisani su Statutom Ekonomskog fakulteta, te Pravilnikom o studiju i studiranju.</w:t>
            </w:r>
          </w:p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Očekivani ishodi učenja na razini predmeta (4-10 ishoda učenja)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Ishod učenja predmeta:</w:t>
            </w:r>
          </w:p>
          <w:p w:rsidR="009F6A6B" w:rsidRPr="00A13323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 1. Polaznik će analiziranjem ključnih elemenata regionalne ekonomske strukture procjenjivati  različite ekonomske procese iz perspektive regionalnog razvoja</w:t>
            </w:r>
          </w:p>
          <w:p w:rsidR="009F6A6B" w:rsidRPr="00A13323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Pojedinačni ishod učenja:</w:t>
            </w:r>
          </w:p>
          <w:p w:rsidR="009F6A6B" w:rsidRPr="00A13323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1. Polaznik/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 identificirati ključne elemente osnovnih regionalnih razvojnih koncepata</w:t>
            </w:r>
          </w:p>
          <w:p w:rsidR="009F6A6B" w:rsidRPr="00A13323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2. Polaznik/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 će analizirati prednosti i nedostatke najrelevantnijih teorija međuregionalne trgovine </w:t>
            </w:r>
          </w:p>
          <w:p w:rsidR="009F6A6B" w:rsidRPr="00A13323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3. Polaznik/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 će preispitati ključne elemente osnovnih teorija regionalnih migracija</w:t>
            </w:r>
          </w:p>
          <w:p w:rsidR="009F6A6B" w:rsidRPr="00A13323" w:rsidRDefault="009F6A6B" w:rsidP="005F5D8A">
            <w:pPr>
              <w:ind w:left="36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4. Polaznik/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 će uspoređivati  osnovna polazišta procesa decentralizacije</w:t>
            </w:r>
          </w:p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       5. Polaznik/</w:t>
            </w:r>
            <w:proofErr w:type="spellStart"/>
            <w:r w:rsidRPr="00A13323">
              <w:rPr>
                <w:rFonts w:ascii="Arial" w:hAnsi="Arial" w:cs="Arial"/>
                <w:sz w:val="20"/>
                <w:szCs w:val="20"/>
              </w:rPr>
              <w:t>ica</w:t>
            </w:r>
            <w:proofErr w:type="spellEnd"/>
            <w:r w:rsidRPr="00A13323">
              <w:rPr>
                <w:rFonts w:ascii="Arial" w:hAnsi="Arial" w:cs="Arial"/>
                <w:sz w:val="20"/>
                <w:szCs w:val="20"/>
              </w:rPr>
              <w:t xml:space="preserve"> će preispitati primjerenost  institucionalnog regionalnog  razvojnog okvira za potrebe regionalnog razvoja RH</w:t>
            </w: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Sadržaj predmeta detaljno razrađen prema satnici nastave 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tbl>
            <w:tblPr>
              <w:tblOverlap w:val="never"/>
              <w:tblW w:w="0" w:type="auto"/>
              <w:jc w:val="center"/>
              <w:tblLayout w:type="fixed"/>
              <w:tblCellMar>
                <w:left w:w="10" w:type="dxa"/>
                <w:right w:w="10" w:type="dxa"/>
              </w:tblCellMar>
              <w:tblLook w:val="04A0"/>
            </w:tblPr>
            <w:tblGrid>
              <w:gridCol w:w="3498"/>
              <w:gridCol w:w="461"/>
              <w:gridCol w:w="3081"/>
            </w:tblGrid>
            <w:tr w:rsidR="009F6A6B" w:rsidRPr="00A13323" w:rsidTr="005F5D8A">
              <w:trPr>
                <w:trHeight w:hRule="exact" w:val="566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UVOD: Pojam, predmet i područje istraživanja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Dogovor o načinu rada. Podjela materijala za rasprave na narednim vježbama. Ponavljanje.</w:t>
                  </w:r>
                </w:p>
              </w:tc>
            </w:tr>
            <w:tr w:rsidR="009F6A6B" w:rsidRPr="00A13323" w:rsidTr="005F5D8A">
              <w:trPr>
                <w:trHeight w:hRule="exact" w:val="374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Regija i regionalizacija: Pristupi i kriteriji definiranju regija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</w:tr>
            <w:tr w:rsidR="009F6A6B" w:rsidRPr="00A13323" w:rsidTr="005F5D8A">
              <w:trPr>
                <w:trHeight w:hRule="exact" w:val="379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jc w:val="center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Definicija regionalne strukture.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</w:tr>
            <w:tr w:rsidR="009F6A6B" w:rsidRPr="00A13323" w:rsidTr="005F5D8A">
              <w:trPr>
                <w:trHeight w:hRule="exact" w:val="379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 xml:space="preserve">Regionalni multiplikatori, </w:t>
                  </w:r>
                  <w:proofErr w:type="spellStart"/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regio</w:t>
                  </w:r>
                  <w:proofErr w:type="spellEnd"/>
                  <w:r w:rsidRPr="00A13323">
                    <w:rPr>
                      <w:rStyle w:val="BodyText1"/>
                      <w:rFonts w:ascii="Arial" w:eastAsia="Calibri" w:hAnsi="Arial" w:cs="Arial"/>
                    </w:rPr>
                    <w:softHyphen/>
                  </w:r>
                  <w:proofErr w:type="spellStart"/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nalni</w:t>
                  </w:r>
                  <w:proofErr w:type="spellEnd"/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 xml:space="preserve"> rast i “</w:t>
                  </w:r>
                  <w:proofErr w:type="spellStart"/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impact</w:t>
                  </w:r>
                  <w:proofErr w:type="spellEnd"/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” analiza.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</w:tr>
            <w:tr w:rsidR="009F6A6B" w:rsidRPr="00A13323" w:rsidTr="005F5D8A">
              <w:trPr>
                <w:trHeight w:hRule="exact" w:val="418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87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65pt"/>
                      <w:rFonts w:ascii="Arial" w:eastAsia="Calibri" w:hAnsi="Arial" w:cs="Arial"/>
                    </w:rPr>
                    <w:t xml:space="preserve">Regionalni razvoj: </w:t>
                  </w: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 xml:space="preserve">Teorijske osnove – </w:t>
                  </w:r>
                  <w:proofErr w:type="spellStart"/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neoklasični</w:t>
                  </w:r>
                  <w:proofErr w:type="spellEnd"/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 xml:space="preserve"> koncept, endogeni koncept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rPr>
                      <w:rFonts w:ascii="Arial" w:hAnsi="Arial" w:cs="Arial"/>
                      <w:sz w:val="10"/>
                      <w:szCs w:val="10"/>
                    </w:rPr>
                  </w:pP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78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</w:tr>
            <w:tr w:rsidR="009F6A6B" w:rsidRPr="00A13323" w:rsidTr="005F5D8A">
              <w:trPr>
                <w:trHeight w:hRule="exact" w:val="422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87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65pt"/>
                      <w:rFonts w:ascii="Arial" w:eastAsia="Calibri" w:hAnsi="Arial" w:cs="Arial"/>
                    </w:rPr>
                    <w:t xml:space="preserve">Regionalni razvoj: </w:t>
                  </w: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Teorijske osnove – suvremeni pristupi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</w:tr>
            <w:tr w:rsidR="009F6A6B" w:rsidRPr="00A13323" w:rsidTr="005F5D8A">
              <w:trPr>
                <w:trHeight w:hRule="exact" w:val="379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Međuregionalna trgovina – Teorijski koncepti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Utvrđivanje temeljnih pojmova i načela.</w:t>
                  </w:r>
                </w:p>
              </w:tc>
            </w:tr>
            <w:tr w:rsidR="009F6A6B" w:rsidRPr="00A13323" w:rsidTr="005F5D8A">
              <w:trPr>
                <w:trHeight w:hRule="exact" w:val="374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Migracije i regionalna tržišta rada – povijesni pristupi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Prezentacije studentskih radova - seminara i rasprava na temu.</w:t>
                  </w:r>
                </w:p>
              </w:tc>
            </w:tr>
            <w:tr w:rsidR="009F6A6B" w:rsidRPr="00A13323" w:rsidTr="005F5D8A">
              <w:trPr>
                <w:trHeight w:hRule="exact" w:val="384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 xml:space="preserve">Migracije i regionalna tržišta rada – suvremeni </w:t>
                  </w:r>
                  <w:proofErr w:type="spellStart"/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koncpeti</w:t>
                  </w:r>
                  <w:proofErr w:type="spellEnd"/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Prezentacije studentskih radova - seminara i rasprava na temu.</w:t>
                  </w:r>
                </w:p>
              </w:tc>
            </w:tr>
            <w:tr w:rsidR="009F6A6B" w:rsidRPr="00A13323" w:rsidTr="005F5D8A">
              <w:trPr>
                <w:trHeight w:hRule="exact" w:val="374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Regionalni razvoj – institucionalni</w:t>
                  </w:r>
                  <w:r w:rsidRPr="00A13323">
                    <w:rPr>
                      <w:rFonts w:ascii="Arial" w:hAnsi="Arial" w:cs="Arial"/>
                    </w:rPr>
                    <w:t xml:space="preserve"> </w:t>
                  </w: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aspekti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Prezentacije studentskih radova - seminara i rasprava na temu.</w:t>
                  </w:r>
                </w:p>
              </w:tc>
            </w:tr>
            <w:tr w:rsidR="009F6A6B" w:rsidRPr="00A13323" w:rsidTr="005F5D8A">
              <w:trPr>
                <w:trHeight w:hRule="exact" w:val="379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lastRenderedPageBreak/>
                    <w:t>Decentralizacija – osnovna obilježja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Prezentacije studentskih radova - seminara i rasprava na temu.</w:t>
                  </w:r>
                </w:p>
              </w:tc>
            </w:tr>
            <w:tr w:rsidR="009F6A6B" w:rsidRPr="00A13323" w:rsidTr="005F5D8A">
              <w:trPr>
                <w:trHeight w:hRule="exact" w:val="379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Fenomen decentralizacije – uloga za regionalnu ekonomiju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Prezentacije studentskih radova - seminara i rasprava na temu..</w:t>
                  </w:r>
                </w:p>
              </w:tc>
            </w:tr>
            <w:tr w:rsidR="009F6A6B" w:rsidRPr="00A13323" w:rsidTr="005F5D8A">
              <w:trPr>
                <w:trHeight w:hRule="exact" w:val="374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Regionalna politika: osnovni elementi i instrumenti provedbe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Prezentacije studentskih radova - seminara i rasprava na temu.</w:t>
                  </w:r>
                </w:p>
              </w:tc>
            </w:tr>
            <w:tr w:rsidR="009F6A6B" w:rsidRPr="00A13323" w:rsidTr="005F5D8A">
              <w:trPr>
                <w:trHeight w:hRule="exact" w:val="418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87" w:lineRule="exact"/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Regionalni razvitak i regionalna politika u Hrvatskoj.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Prezentacije studentskih radova - seminara i rasprava na temu.</w:t>
                  </w:r>
                </w:p>
              </w:tc>
            </w:tr>
            <w:tr w:rsidR="009F6A6B" w:rsidRPr="00A13323" w:rsidTr="005F5D8A">
              <w:trPr>
                <w:trHeight w:hRule="exact" w:val="422"/>
                <w:jc w:val="center"/>
              </w:trPr>
              <w:tc>
                <w:tcPr>
                  <w:tcW w:w="3498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  <w:sz w:val="16"/>
                      <w:szCs w:val="16"/>
                    </w:rPr>
                  </w:pPr>
                  <w:r w:rsidRPr="00A13323">
                    <w:rPr>
                      <w:rFonts w:ascii="Arial" w:hAnsi="Arial" w:cs="Arial"/>
                      <w:sz w:val="16"/>
                      <w:szCs w:val="16"/>
                    </w:rPr>
                    <w:t>Sublimiranje rezultata rada</w:t>
                  </w:r>
                </w:p>
              </w:tc>
              <w:tc>
                <w:tcPr>
                  <w:tcW w:w="46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spacing w:line="150" w:lineRule="exact"/>
                    <w:ind w:left="20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2</w:t>
                  </w:r>
                </w:p>
              </w:tc>
              <w:tc>
                <w:tcPr>
                  <w:tcW w:w="3081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</w:tcBorders>
                  <w:shd w:val="clear" w:color="auto" w:fill="FFFFFF"/>
                </w:tcPr>
                <w:p w:rsidR="009F6A6B" w:rsidRPr="00A13323" w:rsidRDefault="009F6A6B" w:rsidP="005F5D8A">
                  <w:pPr>
                    <w:ind w:left="120"/>
                    <w:rPr>
                      <w:rFonts w:ascii="Arial" w:hAnsi="Arial" w:cs="Arial"/>
                    </w:rPr>
                  </w:pPr>
                  <w:r w:rsidRPr="00A13323">
                    <w:rPr>
                      <w:rStyle w:val="BodyText1"/>
                      <w:rFonts w:ascii="Arial" w:eastAsia="Calibri" w:hAnsi="Arial" w:cs="Arial"/>
                    </w:rPr>
                    <w:t>Prezentacije studentskih radova - seminara i rasprava na temu.</w:t>
                  </w:r>
                </w:p>
              </w:tc>
            </w:tr>
          </w:tbl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</w:p>
        </w:tc>
      </w:tr>
      <w:tr w:rsidR="009F6A6B" w:rsidRPr="00A13323" w:rsidTr="005F5D8A">
        <w:trPr>
          <w:trHeight w:val="349"/>
        </w:trPr>
        <w:tc>
          <w:tcPr>
            <w:tcW w:w="1912" w:type="dxa"/>
            <w:gridSpan w:val="2"/>
            <w:vMerge w:val="restart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Vrste izvođenja nastave:</w:t>
            </w:r>
          </w:p>
        </w:tc>
        <w:tc>
          <w:tcPr>
            <w:tcW w:w="3390" w:type="dxa"/>
            <w:gridSpan w:val="4"/>
            <w:vMerge w:val="restart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predavanja</w:t>
            </w:r>
          </w:p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seminari i radionice  </w:t>
            </w:r>
          </w:p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vježbe  </w:t>
            </w:r>
          </w:p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</w:t>
            </w:r>
            <w:r w:rsidRPr="00A13323">
              <w:rPr>
                <w:rFonts w:ascii="Arial" w:hAnsi="Arial" w:cs="Arial"/>
                <w:b w:val="0"/>
                <w:i/>
                <w:sz w:val="20"/>
                <w:szCs w:val="20"/>
                <w:lang w:val="hr-HR"/>
              </w:rPr>
              <w:t>on line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u cijelosti</w:t>
            </w:r>
          </w:p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mješovito e-učenje</w:t>
            </w:r>
          </w:p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terenska nastava</w:t>
            </w:r>
          </w:p>
        </w:tc>
        <w:tc>
          <w:tcPr>
            <w:tcW w:w="4162" w:type="dxa"/>
            <w:gridSpan w:val="8"/>
            <w:vMerge w:val="restart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samostalni  zadaci  </w:t>
            </w:r>
          </w:p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multimedija </w:t>
            </w:r>
          </w:p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MS Gothic" w:eastAsia="MS Gothic" w:hAnsi="MS Gothic" w:cs="MS Gothic" w:hint="eastAsia"/>
                <w:b w:val="0"/>
                <w:sz w:val="20"/>
                <w:szCs w:val="20"/>
                <w:lang w:val="hr-HR"/>
              </w:rPr>
              <w:t>☐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laboratorij</w:t>
            </w:r>
          </w:p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eastAsia="MS Gothic" w:hAnsi="Arial" w:cs="Arial"/>
                <w:b w:val="0"/>
                <w:sz w:val="20"/>
                <w:szCs w:val="20"/>
                <w:lang w:val="hr-HR"/>
              </w:rPr>
              <w:sym w:font="Wingdings" w:char="F078"/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mentorski rad</w:t>
            </w:r>
          </w:p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MS Gothic" w:eastAsia="MS Gothic" w:hAnsi="MS Gothic" w:cs="MS Gothic" w:hint="eastAsia"/>
                <w:sz w:val="20"/>
                <w:szCs w:val="20"/>
              </w:rPr>
              <w:t>☐</w:t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1E17D6"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="001E17D6" w:rsidRPr="00A13323">
              <w:rPr>
                <w:rFonts w:ascii="Arial" w:hAnsi="Arial" w:cs="Arial"/>
                <w:sz w:val="20"/>
                <w:szCs w:val="20"/>
              </w:rPr>
            </w:r>
            <w:r w:rsidR="001E17D6"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t> </w:t>
            </w:r>
            <w:r w:rsidR="001E17D6"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  <w:r w:rsidRPr="00A13323">
              <w:rPr>
                <w:rFonts w:ascii="Arial" w:hAnsi="Arial" w:cs="Arial"/>
                <w:b/>
                <w:sz w:val="20"/>
                <w:szCs w:val="20"/>
              </w:rPr>
              <w:t xml:space="preserve"> </w:t>
            </w:r>
            <w:r w:rsidRPr="00A13323">
              <w:rPr>
                <w:rFonts w:ascii="Arial" w:hAnsi="Arial" w:cs="Arial"/>
                <w:b/>
                <w:sz w:val="20"/>
                <w:szCs w:val="20"/>
                <w:bdr w:val="single" w:sz="12" w:space="0" w:color="auto"/>
              </w:rPr>
              <w:t xml:space="preserve"> </w:t>
            </w:r>
          </w:p>
        </w:tc>
      </w:tr>
      <w:tr w:rsidR="009F6A6B" w:rsidRPr="00A13323" w:rsidTr="005F5D8A">
        <w:trPr>
          <w:trHeight w:val="57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390" w:type="dxa"/>
            <w:gridSpan w:val="4"/>
            <w:vMerge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  <w:tc>
          <w:tcPr>
            <w:tcW w:w="4162" w:type="dxa"/>
            <w:gridSpan w:val="8"/>
            <w:vMerge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Obveze studenata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Redovito pohađanje nastave (70% prisustvovanja na vježbama) i </w:t>
            </w:r>
            <w:r w:rsidR="00690B06">
              <w:rPr>
                <w:rFonts w:ascii="Arial" w:hAnsi="Arial" w:cs="Arial"/>
                <w:sz w:val="20"/>
                <w:szCs w:val="20"/>
              </w:rPr>
              <w:t xml:space="preserve">samostalna </w:t>
            </w:r>
            <w:r w:rsidRPr="00A13323">
              <w:rPr>
                <w:rFonts w:ascii="Arial" w:hAnsi="Arial" w:cs="Arial"/>
                <w:sz w:val="20"/>
                <w:szCs w:val="20"/>
              </w:rPr>
              <w:t>izrada seminarskog rada</w:t>
            </w:r>
            <w:r w:rsidR="00690B06">
              <w:rPr>
                <w:rFonts w:ascii="Arial" w:hAnsi="Arial" w:cs="Arial"/>
                <w:sz w:val="20"/>
                <w:szCs w:val="20"/>
              </w:rPr>
              <w:t>.</w:t>
            </w:r>
          </w:p>
        </w:tc>
      </w:tr>
      <w:tr w:rsidR="009F6A6B" w:rsidRPr="00A13323" w:rsidTr="005F5D8A">
        <w:trPr>
          <w:trHeight w:val="397"/>
        </w:trPr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Praćenje rada studenata </w:t>
            </w:r>
            <w:r w:rsidRPr="00A13323">
              <w:rPr>
                <w:rFonts w:ascii="Arial" w:hAnsi="Arial" w:cs="Arial"/>
                <w:i/>
                <w:sz w:val="20"/>
                <w:szCs w:val="20"/>
              </w:rPr>
              <w:t>(upisati udio u ECTS bodovima za svaku aktivnost tako da ukupni broj ECTS bodova odgovara bodovnoj vrijednosti predmeta):</w:t>
            </w:r>
          </w:p>
        </w:tc>
        <w:tc>
          <w:tcPr>
            <w:tcW w:w="1677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Pohađanje nastave</w:t>
            </w:r>
          </w:p>
        </w:tc>
        <w:tc>
          <w:tcPr>
            <w:tcW w:w="782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AB04EA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0.5</w:t>
            </w:r>
          </w:p>
        </w:tc>
        <w:tc>
          <w:tcPr>
            <w:tcW w:w="1275" w:type="dxa"/>
            <w:gridSpan w:val="3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Istraživanje</w:t>
            </w:r>
          </w:p>
        </w:tc>
        <w:tc>
          <w:tcPr>
            <w:tcW w:w="968" w:type="dxa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top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Praktični rad</w:t>
            </w:r>
          </w:p>
        </w:tc>
        <w:tc>
          <w:tcPr>
            <w:tcW w:w="1330" w:type="dxa"/>
            <w:gridSpan w:val="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6A6B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Eksperimentalni rad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Referat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6A6B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Esej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Seminarski rad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</w:t>
            </w:r>
            <w:bookmarkStart w:id="0" w:name="_GoBack"/>
            <w:bookmarkEnd w:id="0"/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instrText xml:space="preserve"> FORMTEXT </w:instrTex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separate"/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="009F6A6B" w:rsidRPr="00A13323">
              <w:rPr>
                <w:rFonts w:ascii="Arial" w:hAnsi="Arial" w:cs="Arial"/>
                <w:b w:val="0"/>
                <w:noProof/>
                <w:sz w:val="20"/>
                <w:szCs w:val="20"/>
                <w:lang w:val="hr-HR"/>
              </w:rPr>
              <w:t> </w:t>
            </w: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fldChar w:fldCharType="end"/>
            </w:r>
          </w:p>
        </w:tc>
      </w:tr>
      <w:tr w:rsidR="009F6A6B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Kolokviji</w:t>
            </w:r>
          </w:p>
        </w:tc>
        <w:tc>
          <w:tcPr>
            <w:tcW w:w="782" w:type="dxa"/>
            <w:tcMar>
              <w:left w:w="57" w:type="dxa"/>
              <w:right w:w="57" w:type="dxa"/>
            </w:tcMar>
            <w:vAlign w:val="center"/>
          </w:tcPr>
          <w:p w:rsidR="009F6A6B" w:rsidRPr="00A13323" w:rsidRDefault="00042A82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2.5</w:t>
            </w:r>
            <w:r w:rsidR="009F6A6B"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*</w:t>
            </w:r>
          </w:p>
        </w:tc>
        <w:tc>
          <w:tcPr>
            <w:tcW w:w="1275" w:type="dxa"/>
            <w:gridSpan w:val="3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pStyle w:val="FieldText"/>
              <w:rPr>
                <w:rFonts w:ascii="Arial" w:hAnsi="Arial" w:cs="Arial"/>
                <w:b w:val="0"/>
                <w:sz w:val="20"/>
                <w:szCs w:val="20"/>
                <w:lang w:val="hr-HR"/>
              </w:rPr>
            </w:pPr>
            <w:r w:rsidRPr="00A13323">
              <w:rPr>
                <w:rFonts w:ascii="Arial" w:hAnsi="Arial" w:cs="Arial"/>
                <w:b w:val="0"/>
                <w:sz w:val="20"/>
                <w:szCs w:val="20"/>
                <w:lang w:val="hr-HR"/>
              </w:rPr>
              <w:t>Usmeni ispit</w:t>
            </w:r>
          </w:p>
        </w:tc>
        <w:tc>
          <w:tcPr>
            <w:tcW w:w="968" w:type="dxa"/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6A6B" w:rsidRPr="00A13323" w:rsidTr="005F5D8A">
        <w:trPr>
          <w:trHeight w:val="397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2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77" w:type="dxa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Pismeni ispit</w:t>
            </w:r>
          </w:p>
        </w:tc>
        <w:tc>
          <w:tcPr>
            <w:tcW w:w="782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042A82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>
              <w:rPr>
                <w:rFonts w:ascii="Arial" w:hAnsi="Arial" w:cs="Arial"/>
                <w:sz w:val="20"/>
                <w:szCs w:val="20"/>
              </w:rPr>
              <w:t>2.5</w:t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t>*</w:t>
            </w:r>
          </w:p>
        </w:tc>
        <w:tc>
          <w:tcPr>
            <w:tcW w:w="1275" w:type="dxa"/>
            <w:gridSpan w:val="3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Projekt</w:t>
            </w:r>
          </w:p>
        </w:tc>
        <w:tc>
          <w:tcPr>
            <w:tcW w:w="968" w:type="dxa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  <w:highlight w:val="yellow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  <w:tc>
          <w:tcPr>
            <w:tcW w:w="1520" w:type="dxa"/>
            <w:gridSpan w:val="4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t xml:space="preserve"> (Ostalo upisati)</w:t>
            </w:r>
          </w:p>
        </w:tc>
        <w:tc>
          <w:tcPr>
            <w:tcW w:w="1330" w:type="dxa"/>
            <w:gridSpan w:val="2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  <w:vAlign w:val="center"/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360"/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Ocjenjivanje i vrjednovanje rada studenata tijekom nastave i na završnom ispitu</w:t>
            </w:r>
          </w:p>
        </w:tc>
        <w:tc>
          <w:tcPr>
            <w:tcW w:w="7552" w:type="dxa"/>
            <w:gridSpan w:val="12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690B06" w:rsidRPr="00690B06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*Student koji položi oba kolokvija oslobođen je polaganja ispita. </w:t>
            </w:r>
          </w:p>
          <w:p w:rsidR="00690B06" w:rsidRPr="00690B06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</w:p>
          <w:p w:rsidR="00690B06" w:rsidRPr="00690B06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>
              <w:rPr>
                <w:rFonts w:ascii="Times New Roman" w:hAnsi="Times New Roman" w:cs="Arial"/>
                <w:sz w:val="20"/>
                <w:szCs w:val="20"/>
              </w:rPr>
              <w:t>Uvjeti za potpis: pohađanja 7</w:t>
            </w: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0% sati nastave (predavanja i vježbe). </w:t>
            </w:r>
          </w:p>
          <w:p w:rsidR="00690B06" w:rsidRPr="00690B06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Uvjet za izlazak na ispit je potpis i pozitivno ocijenjeni </w:t>
            </w:r>
            <w:r>
              <w:rPr>
                <w:rFonts w:ascii="Times New Roman" w:hAnsi="Times New Roman" w:cs="Arial"/>
                <w:sz w:val="20"/>
                <w:szCs w:val="20"/>
              </w:rPr>
              <w:t>seminar.</w:t>
            </w:r>
          </w:p>
          <w:p w:rsidR="00690B06" w:rsidRPr="00690B06" w:rsidRDefault="00690B06" w:rsidP="00690B06">
            <w:pPr>
              <w:spacing w:after="0" w:line="240" w:lineRule="auto"/>
              <w:rPr>
                <w:rFonts w:ascii="Times New Roman" w:hAnsi="Times New Roman" w:cs="Arial"/>
                <w:sz w:val="20"/>
                <w:szCs w:val="20"/>
              </w:rPr>
            </w:pP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Na kolegiju se održavaju dva kolokvija; pozitivno ocijenjen prvi kolokvij je uvjet za izlazak na drugi kolokvij. Student koji položi oba kolokvija oslobođen je polaganja ispita. </w:t>
            </w:r>
          </w:p>
          <w:p w:rsidR="00690B06" w:rsidRPr="00690B06" w:rsidRDefault="00690B06" w:rsidP="00690B0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Bodovni pragovi i odgovarajuće ocjene za pisane provjere znanja (kolokviji i ispit):</w:t>
            </w:r>
          </w:p>
          <w:p w:rsidR="00690B06" w:rsidRPr="00690B06" w:rsidRDefault="00690B06" w:rsidP="00690B0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0-49      nedovoljan (1)</w:t>
            </w:r>
          </w:p>
          <w:p w:rsidR="00690B06" w:rsidRPr="00690B06" w:rsidRDefault="00690B06" w:rsidP="00690B0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50-65    dovoljan (2)</w:t>
            </w:r>
          </w:p>
          <w:p w:rsidR="00690B06" w:rsidRPr="00690B06" w:rsidRDefault="00690B06" w:rsidP="00690B0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66-75    dobar (3)</w:t>
            </w:r>
          </w:p>
          <w:p w:rsidR="00690B06" w:rsidRPr="00690B06" w:rsidRDefault="00690B06" w:rsidP="00690B0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76-85    vrlo dobar (4)</w:t>
            </w:r>
          </w:p>
          <w:p w:rsidR="00690B06" w:rsidRPr="00690B06" w:rsidRDefault="00690B06" w:rsidP="00690B06">
            <w:p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color w:val="FF0000"/>
                <w:sz w:val="20"/>
                <w:szCs w:val="20"/>
              </w:rPr>
            </w:pPr>
            <w:r w:rsidRPr="00690B06">
              <w:rPr>
                <w:rFonts w:ascii="Arial" w:hAnsi="Arial" w:cs="Arial"/>
                <w:color w:val="FF0000"/>
                <w:sz w:val="20"/>
                <w:szCs w:val="20"/>
              </w:rPr>
              <w:t>86-100  izvrstan (5)</w:t>
            </w:r>
          </w:p>
          <w:p w:rsidR="00690B06" w:rsidRPr="00A13323" w:rsidRDefault="00690B06" w:rsidP="00690B06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Struktura konačne ocjene: Oba pozitivno </w:t>
            </w:r>
            <w:r>
              <w:rPr>
                <w:rFonts w:ascii="Times New Roman" w:hAnsi="Times New Roman" w:cs="Arial"/>
                <w:sz w:val="20"/>
                <w:szCs w:val="20"/>
              </w:rPr>
              <w:t>ocijenjena kolokvija / ispit (50</w:t>
            </w: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% konačne ocjene), </w:t>
            </w:r>
            <w:r>
              <w:rPr>
                <w:rFonts w:ascii="Times New Roman" w:hAnsi="Times New Roman" w:cs="Arial"/>
                <w:sz w:val="20"/>
                <w:szCs w:val="20"/>
              </w:rPr>
              <w:t>pohađanje i aktivno sudjelovanje u  nastavi</w:t>
            </w:r>
            <w:r w:rsidRPr="00690B06">
              <w:rPr>
                <w:rFonts w:ascii="Times New Roman" w:hAnsi="Times New Roman" w:cs="Arial"/>
                <w:sz w:val="20"/>
                <w:szCs w:val="20"/>
              </w:rPr>
              <w:t xml:space="preserve"> (10%),  </w:t>
            </w:r>
            <w:r>
              <w:rPr>
                <w:rFonts w:ascii="Times New Roman" w:hAnsi="Times New Roman" w:cs="Arial"/>
                <w:sz w:val="20"/>
                <w:szCs w:val="20"/>
              </w:rPr>
              <w:t xml:space="preserve">izrada i </w:t>
            </w:r>
            <w:r w:rsidR="00AB04EA">
              <w:rPr>
                <w:rFonts w:ascii="Times New Roman" w:hAnsi="Times New Roman" w:cs="Arial"/>
                <w:sz w:val="20"/>
                <w:szCs w:val="20"/>
              </w:rPr>
              <w:t>prezentacija seminarskog rada (4</w:t>
            </w:r>
            <w:r>
              <w:rPr>
                <w:rFonts w:ascii="Times New Roman" w:hAnsi="Times New Roman" w:cs="Arial"/>
                <w:sz w:val="20"/>
                <w:szCs w:val="20"/>
              </w:rPr>
              <w:t>0</w:t>
            </w:r>
            <w:r w:rsidRPr="00690B06">
              <w:rPr>
                <w:rFonts w:ascii="Times New Roman" w:hAnsi="Times New Roman" w:cs="Arial"/>
                <w:sz w:val="20"/>
                <w:szCs w:val="20"/>
              </w:rPr>
              <w:t>% konačn</w:t>
            </w:r>
            <w:r>
              <w:rPr>
                <w:rFonts w:ascii="Times New Roman" w:hAnsi="Times New Roman" w:cs="Arial"/>
                <w:sz w:val="20"/>
                <w:szCs w:val="20"/>
              </w:rPr>
              <w:t>e ocjene).</w:t>
            </w:r>
          </w:p>
        </w:tc>
      </w:tr>
      <w:tr w:rsidR="009F6A6B" w:rsidRPr="00A13323" w:rsidTr="005F5D8A">
        <w:tc>
          <w:tcPr>
            <w:tcW w:w="1912" w:type="dxa"/>
            <w:gridSpan w:val="2"/>
            <w:vMerge w:val="restart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54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Obvezna literatura (dostupna u knjižnici i putem ostalih medija)</w:t>
            </w:r>
          </w:p>
        </w:tc>
        <w:tc>
          <w:tcPr>
            <w:tcW w:w="4790" w:type="dxa"/>
            <w:gridSpan w:val="7"/>
            <w:tcBorders>
              <w:top w:val="single" w:sz="12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323">
              <w:rPr>
                <w:rFonts w:ascii="Arial" w:hAnsi="Arial" w:cs="Arial"/>
                <w:b/>
                <w:sz w:val="16"/>
                <w:szCs w:val="16"/>
              </w:rPr>
              <w:t>Naslov</w:t>
            </w:r>
          </w:p>
        </w:tc>
        <w:tc>
          <w:tcPr>
            <w:tcW w:w="1244" w:type="dxa"/>
            <w:gridSpan w:val="2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323">
              <w:rPr>
                <w:rFonts w:ascii="Arial" w:hAnsi="Arial" w:cs="Arial"/>
                <w:b/>
                <w:sz w:val="16"/>
                <w:szCs w:val="16"/>
              </w:rPr>
              <w:t>Broj primjeraka u knjižnici</w:t>
            </w:r>
          </w:p>
        </w:tc>
        <w:tc>
          <w:tcPr>
            <w:tcW w:w="1518" w:type="dxa"/>
            <w:gridSpan w:val="3"/>
            <w:tcBorders>
              <w:top w:val="single" w:sz="12" w:space="0" w:color="auto"/>
              <w:left w:val="single" w:sz="8" w:space="0" w:color="auto"/>
              <w:bottom w:val="single" w:sz="8" w:space="0" w:color="auto"/>
              <w:right w:val="single" w:sz="12" w:space="0" w:color="auto"/>
            </w:tcBorders>
            <w:shd w:val="clear" w:color="auto" w:fill="CCEC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b/>
                <w:sz w:val="16"/>
                <w:szCs w:val="16"/>
              </w:rPr>
            </w:pPr>
            <w:r w:rsidRPr="00A13323">
              <w:rPr>
                <w:rFonts w:ascii="Arial" w:hAnsi="Arial" w:cs="Arial"/>
                <w:b/>
                <w:sz w:val="16"/>
                <w:szCs w:val="16"/>
              </w:rPr>
              <w:t>Dostupnost putem ostalih medija</w:t>
            </w:r>
          </w:p>
        </w:tc>
      </w:tr>
      <w:tr w:rsidR="009F6A6B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9F6A6B" w:rsidP="005F5D8A">
            <w:pPr>
              <w:pStyle w:val="Default"/>
              <w:rPr>
                <w:rFonts w:ascii="Arial" w:hAnsi="Arial" w:cs="Arial"/>
                <w:color w:val="auto"/>
                <w:sz w:val="16"/>
                <w:szCs w:val="16"/>
              </w:rPr>
            </w:pPr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 xml:space="preserve">1. </w:t>
            </w:r>
            <w:proofErr w:type="spellStart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>Harvey</w:t>
            </w:r>
            <w:proofErr w:type="spellEnd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 xml:space="preserve"> Armstrong, </w:t>
            </w:r>
            <w:proofErr w:type="spellStart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>Jim</w:t>
            </w:r>
            <w:proofErr w:type="spellEnd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 xml:space="preserve"> Taylor: </w:t>
            </w:r>
            <w:proofErr w:type="spellStart"/>
            <w:r w:rsidRPr="00A13323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Regional</w:t>
            </w:r>
            <w:proofErr w:type="spellEnd"/>
            <w:r w:rsidRPr="00A13323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economics</w:t>
            </w:r>
            <w:proofErr w:type="spellEnd"/>
            <w:r w:rsidRPr="00A13323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and</w:t>
            </w:r>
            <w:proofErr w:type="spellEnd"/>
            <w:r w:rsidRPr="00A13323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i/>
                <w:iCs/>
                <w:color w:val="auto"/>
                <w:sz w:val="16"/>
                <w:szCs w:val="16"/>
              </w:rPr>
              <w:t>policy</w:t>
            </w:r>
            <w:proofErr w:type="spellEnd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 xml:space="preserve">, Third </w:t>
            </w:r>
            <w:proofErr w:type="spellStart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>Edition</w:t>
            </w:r>
            <w:proofErr w:type="spellEnd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 xml:space="preserve">, </w:t>
            </w:r>
            <w:proofErr w:type="spellStart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>Blackwell</w:t>
            </w:r>
            <w:proofErr w:type="spellEnd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 xml:space="preserve"> - </w:t>
            </w:r>
            <w:proofErr w:type="spellStart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>Publishing</w:t>
            </w:r>
            <w:proofErr w:type="spellEnd"/>
            <w:r w:rsidRPr="00A13323">
              <w:rPr>
                <w:rFonts w:ascii="Arial" w:hAnsi="Arial" w:cs="Arial"/>
                <w:color w:val="auto"/>
                <w:sz w:val="16"/>
                <w:szCs w:val="16"/>
              </w:rPr>
              <w:t xml:space="preserve">, 2000. </w:t>
            </w:r>
          </w:p>
        </w:tc>
        <w:tc>
          <w:tcPr>
            <w:tcW w:w="1244" w:type="dxa"/>
            <w:gridSpan w:val="2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t>Nepoznat broj</w:t>
            </w:r>
          </w:p>
        </w:tc>
        <w:tc>
          <w:tcPr>
            <w:tcW w:w="1518" w:type="dxa"/>
            <w:gridSpan w:val="3"/>
            <w:tcBorders>
              <w:top w:val="single" w:sz="8" w:space="0" w:color="auto"/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9F6A6B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t>On-line</w:t>
            </w:r>
          </w:p>
        </w:tc>
      </w:tr>
      <w:tr w:rsidR="009F6A6B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690B0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7F27FF">
              <w:rPr>
                <w:rFonts w:ascii="Arial" w:hAnsi="Arial" w:cs="Arial"/>
                <w:color w:val="FF0000"/>
                <w:sz w:val="20"/>
                <w:szCs w:val="20"/>
              </w:rPr>
              <w:t xml:space="preserve">Autorizirana predavanja i </w:t>
            </w:r>
            <w:r>
              <w:rPr>
                <w:rFonts w:ascii="Arial" w:hAnsi="Arial" w:cs="Arial"/>
                <w:sz w:val="20"/>
                <w:szCs w:val="20"/>
              </w:rPr>
              <w:t>nastavni materijali</w:t>
            </w:r>
            <w:r w:rsidRPr="003745F8">
              <w:rPr>
                <w:rFonts w:ascii="Arial" w:hAnsi="Arial" w:cs="Arial"/>
                <w:sz w:val="20"/>
                <w:szCs w:val="20"/>
              </w:rPr>
              <w:t xml:space="preserve"> na</w:t>
            </w:r>
            <w:r>
              <w:rPr>
                <w:rFonts w:ascii="Arial" w:hAnsi="Arial" w:cs="Arial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Arial" w:hAnsi="Arial" w:cs="Arial"/>
                <w:sz w:val="20"/>
                <w:szCs w:val="20"/>
              </w:rPr>
              <w:t>Moodle</w:t>
            </w:r>
            <w:proofErr w:type="spellEnd"/>
            <w:r w:rsidRPr="003745F8">
              <w:rPr>
                <w:rFonts w:ascii="Arial" w:hAnsi="Arial" w:cs="Arial"/>
                <w:sz w:val="20"/>
                <w:szCs w:val="20"/>
              </w:rPr>
              <w:t xml:space="preserve"> </w:t>
            </w:r>
            <w:r>
              <w:rPr>
                <w:rFonts w:ascii="Arial" w:hAnsi="Arial" w:cs="Arial"/>
                <w:sz w:val="20"/>
                <w:szCs w:val="20"/>
              </w:rPr>
              <w:t>stranicama kolegija</w:t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690B0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proofErr w:type="spellStart"/>
            <w:r>
              <w:rPr>
                <w:rFonts w:ascii="Arial" w:hAnsi="Arial" w:cs="Arial"/>
                <w:sz w:val="16"/>
                <w:szCs w:val="16"/>
              </w:rPr>
              <w:t>moodle</w:t>
            </w:r>
            <w:proofErr w:type="spellEnd"/>
          </w:p>
        </w:tc>
      </w:tr>
      <w:tr w:rsidR="009F6A6B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6A6B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6A6B" w:rsidRPr="00A13323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6A6B" w:rsidRPr="00A13323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6A6B" w:rsidRPr="00A13323" w:rsidTr="005F5D8A">
        <w:trPr>
          <w:trHeight w:val="175"/>
        </w:trPr>
        <w:tc>
          <w:tcPr>
            <w:tcW w:w="1912" w:type="dxa"/>
            <w:gridSpan w:val="2"/>
            <w:vMerge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6A6B" w:rsidRPr="00A13323" w:rsidTr="005F5D8A">
        <w:trPr>
          <w:trHeight w:val="75"/>
        </w:trPr>
        <w:tc>
          <w:tcPr>
            <w:tcW w:w="1912" w:type="dxa"/>
            <w:gridSpan w:val="2"/>
            <w:vMerge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9F6A6B">
            <w:pPr>
              <w:numPr>
                <w:ilvl w:val="0"/>
                <w:numId w:val="1"/>
              </w:numPr>
              <w:tabs>
                <w:tab w:val="left" w:pos="2820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4790" w:type="dxa"/>
            <w:gridSpan w:val="7"/>
            <w:tcBorders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244" w:type="dxa"/>
            <w:gridSpan w:val="2"/>
            <w:tcBorders>
              <w:left w:val="single" w:sz="8" w:space="0" w:color="auto"/>
              <w:bottom w:val="single" w:sz="12" w:space="0" w:color="auto"/>
              <w:right w:val="single" w:sz="8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  <w:tc>
          <w:tcPr>
            <w:tcW w:w="1518" w:type="dxa"/>
            <w:gridSpan w:val="3"/>
            <w:tcBorders>
              <w:left w:val="single" w:sz="8" w:space="0" w:color="auto"/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16"/>
                <w:szCs w:val="16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16"/>
                <w:szCs w:val="16"/>
              </w:rPr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16"/>
                <w:szCs w:val="16"/>
              </w:rPr>
              <w:t> </w:t>
            </w:r>
            <w:r w:rsidRPr="00A13323">
              <w:rPr>
                <w:rFonts w:ascii="Arial" w:hAnsi="Arial" w:cs="Arial"/>
                <w:sz w:val="16"/>
                <w:szCs w:val="16"/>
              </w:rPr>
              <w:fldChar w:fldCharType="end"/>
            </w: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top w:val="single" w:sz="12" w:space="0" w:color="auto"/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 xml:space="preserve">Dopunska literatura </w:t>
            </w:r>
          </w:p>
          <w:p w:rsidR="009F6A6B" w:rsidRPr="00A13323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552" w:type="dxa"/>
            <w:gridSpan w:val="12"/>
            <w:tcBorders>
              <w:top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9F6A6B" w:rsidP="009F6A6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Capello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 i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Nijkamp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(2009.):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Handbook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of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regional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growth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and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development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theories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</w:p>
          <w:p w:rsidR="009F6A6B" w:rsidRPr="00A13323" w:rsidRDefault="009F6A6B" w:rsidP="009F6A6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P. McCann (2013.) –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Modern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urban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and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regional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economics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second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edition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  <w:proofErr w:type="spellStart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>Oxford</w:t>
            </w:r>
            <w:proofErr w:type="spellEnd"/>
            <w:r w:rsidRPr="00A13323">
              <w:rPr>
                <w:rFonts w:ascii="Arial" w:hAnsi="Arial" w:cs="Arial"/>
                <w:bCs/>
                <w:i/>
                <w:iCs/>
                <w:sz w:val="16"/>
                <w:szCs w:val="16"/>
              </w:rPr>
              <w:t xml:space="preserve">, </w:t>
            </w:r>
          </w:p>
          <w:p w:rsidR="009F6A6B" w:rsidRDefault="009F6A6B" w:rsidP="009F6A6B">
            <w:pPr>
              <w:numPr>
                <w:ilvl w:val="0"/>
                <w:numId w:val="4"/>
              </w:numPr>
              <w:tabs>
                <w:tab w:val="left" w:pos="2820"/>
              </w:tabs>
              <w:spacing w:after="0"/>
              <w:rPr>
                <w:rFonts w:ascii="Arial" w:hAnsi="Arial" w:cs="Arial"/>
                <w:sz w:val="16"/>
                <w:szCs w:val="16"/>
              </w:rPr>
            </w:pPr>
            <w:r w:rsidRPr="00A13323">
              <w:rPr>
                <w:rFonts w:ascii="Arial" w:hAnsi="Arial" w:cs="Arial"/>
                <w:sz w:val="16"/>
                <w:szCs w:val="16"/>
              </w:rPr>
              <w:t xml:space="preserve">Europa </w:t>
            </w:r>
            <w:proofErr w:type="spellStart"/>
            <w:r w:rsidRPr="00A13323">
              <w:rPr>
                <w:rFonts w:ascii="Arial" w:hAnsi="Arial" w:cs="Arial"/>
                <w:sz w:val="16"/>
                <w:szCs w:val="16"/>
              </w:rPr>
              <w:t>Websites</w:t>
            </w:r>
            <w:proofErr w:type="spellEnd"/>
            <w:r w:rsidRPr="00A13323">
              <w:rPr>
                <w:rFonts w:ascii="Arial" w:hAnsi="Arial" w:cs="Arial"/>
                <w:sz w:val="16"/>
                <w:szCs w:val="16"/>
              </w:rPr>
              <w:t>-</w:t>
            </w:r>
            <w:proofErr w:type="spellStart"/>
            <w:r w:rsidRPr="00A13323">
              <w:rPr>
                <w:rFonts w:ascii="Arial" w:hAnsi="Arial" w:cs="Arial"/>
                <w:sz w:val="16"/>
                <w:szCs w:val="16"/>
              </w:rPr>
              <w:t>European</w:t>
            </w:r>
            <w:proofErr w:type="spellEnd"/>
            <w:r w:rsidRPr="00A1332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sz w:val="16"/>
                <w:szCs w:val="16"/>
              </w:rPr>
              <w:t>Commission</w:t>
            </w:r>
            <w:proofErr w:type="spellEnd"/>
            <w:r w:rsidRPr="00A13323">
              <w:rPr>
                <w:rFonts w:ascii="Arial" w:hAnsi="Arial" w:cs="Arial"/>
                <w:sz w:val="16"/>
                <w:szCs w:val="16"/>
              </w:rPr>
              <w:t xml:space="preserve">: </w:t>
            </w:r>
            <w:proofErr w:type="spellStart"/>
            <w:r w:rsidRPr="00A13323">
              <w:rPr>
                <w:rFonts w:ascii="Arial" w:hAnsi="Arial" w:cs="Arial"/>
                <w:sz w:val="16"/>
                <w:szCs w:val="16"/>
              </w:rPr>
              <w:t>Regional</w:t>
            </w:r>
            <w:proofErr w:type="spellEnd"/>
            <w:r w:rsidRPr="00A13323">
              <w:rPr>
                <w:rFonts w:ascii="Arial" w:hAnsi="Arial" w:cs="Arial"/>
                <w:sz w:val="16"/>
                <w:szCs w:val="16"/>
              </w:rPr>
              <w:t xml:space="preserve"> </w:t>
            </w:r>
            <w:proofErr w:type="spellStart"/>
            <w:r w:rsidRPr="00A13323">
              <w:rPr>
                <w:rFonts w:ascii="Arial" w:hAnsi="Arial" w:cs="Arial"/>
                <w:sz w:val="16"/>
                <w:szCs w:val="16"/>
              </w:rPr>
              <w:t>Policy</w:t>
            </w:r>
            <w:proofErr w:type="spellEnd"/>
            <w:r w:rsidRPr="00A13323">
              <w:rPr>
                <w:rFonts w:ascii="Arial" w:hAnsi="Arial" w:cs="Arial"/>
                <w:sz w:val="16"/>
                <w:szCs w:val="16"/>
              </w:rPr>
              <w:t xml:space="preserve"> </w:t>
            </w:r>
            <w:r w:rsidRPr="00A13323">
              <w:rPr>
                <w:rFonts w:ascii="Arial" w:hAnsi="Arial" w:cs="Arial"/>
                <w:sz w:val="16"/>
                <w:szCs w:val="16"/>
              </w:rPr>
              <w:lastRenderedPageBreak/>
              <w:t>(</w:t>
            </w:r>
            <w:hyperlink r:id="rId7" w:history="1">
              <w:r w:rsidR="00AA4D8A" w:rsidRPr="00205FFC">
                <w:rPr>
                  <w:rStyle w:val="Hyperlink"/>
                  <w:rFonts w:ascii="Arial" w:hAnsi="Arial" w:cs="Arial"/>
                  <w:sz w:val="16"/>
                  <w:szCs w:val="16"/>
                </w:rPr>
                <w:t>http://europa.eu.int/comm/regional_policy/intro/regions.._en.htm</w:t>
              </w:r>
            </w:hyperlink>
            <w:r w:rsidRPr="00A13323">
              <w:rPr>
                <w:rFonts w:ascii="Arial" w:hAnsi="Arial" w:cs="Arial"/>
                <w:sz w:val="16"/>
                <w:szCs w:val="16"/>
              </w:rPr>
              <w:t>)</w:t>
            </w:r>
          </w:p>
          <w:p w:rsidR="00AA4D8A" w:rsidRPr="00AA4D8A" w:rsidRDefault="00AA4D8A" w:rsidP="00AA4D8A">
            <w:pPr>
              <w:pStyle w:val="ListParagraph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Muštra, V. (2017): Who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cares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about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regional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inequalities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?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Effects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of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fiscal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consolidation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, vol IX, n 1,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pp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. 135 – 144,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Regional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Science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Inquiry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Journal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ISSN: 1791-5961 Print , ISSN: 1791-7735 On line , June 2017</w:t>
            </w:r>
          </w:p>
          <w:p w:rsidR="00AA4D8A" w:rsidRPr="00AA4D8A" w:rsidRDefault="00AA4D8A" w:rsidP="00AA4D8A">
            <w:pPr>
              <w:pStyle w:val="ListParagraph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rPr>
                <w:rFonts w:ascii="Arial" w:hAnsi="Arial" w:cs="Arial"/>
                <w:color w:val="FF0000"/>
                <w:sz w:val="16"/>
                <w:szCs w:val="16"/>
              </w:rPr>
            </w:pPr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Muštra, V, Šimundić, B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and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Kuliš, Z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(2017)</w:t>
            </w:r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: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Effects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of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smart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specialization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on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regi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onal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economic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resilience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>
              <w:rPr>
                <w:rFonts w:ascii="Arial" w:hAnsi="Arial" w:cs="Arial"/>
                <w:color w:val="FF0000"/>
                <w:sz w:val="16"/>
                <w:szCs w:val="16"/>
              </w:rPr>
              <w:t>in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EU,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Regional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Revista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de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Estudios</w:t>
            </w:r>
            <w:proofErr w:type="spellEnd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 </w:t>
            </w:r>
            <w:proofErr w:type="spellStart"/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>Regionales</w:t>
            </w:r>
            <w:proofErr w:type="spellEnd"/>
            <w:r>
              <w:rPr>
                <w:rFonts w:ascii="Arial" w:hAnsi="Arial" w:cs="Arial"/>
                <w:color w:val="FF0000"/>
                <w:sz w:val="16"/>
                <w:szCs w:val="16"/>
              </w:rPr>
              <w:t xml:space="preserve"> , </w:t>
            </w:r>
            <w:r w:rsidRPr="00AA4D8A">
              <w:rPr>
                <w:rFonts w:ascii="Arial" w:hAnsi="Arial" w:cs="Arial"/>
                <w:color w:val="FF0000"/>
                <w:sz w:val="16"/>
                <w:szCs w:val="16"/>
              </w:rPr>
              <w:t xml:space="preserve">vol. 110, 2017, I.S.S.N.: </w:t>
            </w:r>
            <w:r>
              <w:rPr>
                <w:rFonts w:ascii="Arial" w:hAnsi="Arial" w:cs="Arial"/>
                <w:color w:val="FF0000"/>
                <w:sz w:val="16"/>
                <w:szCs w:val="16"/>
              </w:rPr>
              <w:t>0213-7585</w:t>
            </w:r>
          </w:p>
          <w:p w:rsidR="00AA4D8A" w:rsidRPr="00AA4D8A" w:rsidRDefault="00AA4D8A" w:rsidP="00AA4D8A">
            <w:pPr>
              <w:pStyle w:val="ListParagraph"/>
              <w:numPr>
                <w:ilvl w:val="0"/>
                <w:numId w:val="4"/>
              </w:numPr>
              <w:tabs>
                <w:tab w:val="num" w:pos="1440"/>
              </w:tabs>
              <w:spacing w:after="0" w:line="240" w:lineRule="auto"/>
              <w:jc w:val="both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left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lastRenderedPageBreak/>
              <w:t>Načini praćenja kvalitete koji osiguravaju stjecanje utvrđenih ishoda učenja</w:t>
            </w:r>
          </w:p>
        </w:tc>
        <w:tc>
          <w:tcPr>
            <w:tcW w:w="7552" w:type="dxa"/>
            <w:gridSpan w:val="12"/>
            <w:tcBorders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Praćenje pohađanja nastave i uspješnosti izvršenja ostalih obveza studenata (nastavnik)</w:t>
            </w:r>
          </w:p>
          <w:p w:rsidR="009F6A6B" w:rsidRPr="00A13323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Nadzor izvođenja nastave (prodekan za nastavu)</w:t>
            </w:r>
          </w:p>
          <w:p w:rsidR="009F6A6B" w:rsidRPr="00A13323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Analiza uspješnosti studiranja po svim predmetima studija (prodekan za nastavu)</w:t>
            </w:r>
          </w:p>
          <w:p w:rsidR="009F6A6B" w:rsidRPr="00A13323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Studentska anketa o kvaliteti nastavnika i nastave za svaki predmet studija (UNIST, Centar za unaprjeđenje kvalitete)</w:t>
            </w:r>
          </w:p>
          <w:p w:rsidR="009F6A6B" w:rsidRPr="00A13323" w:rsidRDefault="009F6A6B" w:rsidP="009F6A6B">
            <w:pPr>
              <w:numPr>
                <w:ilvl w:val="0"/>
                <w:numId w:val="3"/>
              </w:numPr>
              <w:spacing w:after="0" w:line="240" w:lineRule="auto"/>
              <w:ind w:left="714" w:hanging="357"/>
              <w:jc w:val="both"/>
              <w:rPr>
                <w:rFonts w:ascii="Arial" w:hAnsi="Arial" w:cs="Arial"/>
                <w:bCs/>
                <w:sz w:val="16"/>
                <w:szCs w:val="16"/>
              </w:rPr>
            </w:pPr>
            <w:r w:rsidRPr="00A13323">
              <w:rPr>
                <w:rFonts w:ascii="Arial" w:hAnsi="Arial" w:cs="Arial"/>
                <w:bCs/>
                <w:sz w:val="16"/>
                <w:szCs w:val="16"/>
              </w:rPr>
              <w:t>Ispitom koji provodi predmetni nastavnik provjeravaju se svi ishodi učenja predmeta. Periodično se vrši provjera sadržaja ispita, temeljem koje se utvrđuje primjerenost načina provjeravanja ishoda učenja (prodekan za nastavu)</w:t>
            </w:r>
          </w:p>
        </w:tc>
      </w:tr>
      <w:tr w:rsidR="009F6A6B" w:rsidRPr="00A13323" w:rsidTr="005F5D8A">
        <w:tc>
          <w:tcPr>
            <w:tcW w:w="1912" w:type="dxa"/>
            <w:gridSpan w:val="2"/>
            <w:tcBorders>
              <w:left w:val="single" w:sz="12" w:space="0" w:color="auto"/>
              <w:bottom w:val="single" w:sz="12" w:space="0" w:color="auto"/>
            </w:tcBorders>
            <w:shd w:val="clear" w:color="auto" w:fill="CCFFFF"/>
            <w:tcMar>
              <w:left w:w="57" w:type="dxa"/>
              <w:right w:w="57" w:type="dxa"/>
            </w:tcMar>
            <w:vAlign w:val="center"/>
          </w:tcPr>
          <w:p w:rsidR="009F6A6B" w:rsidRPr="00A13323" w:rsidRDefault="009F6A6B" w:rsidP="005F5D8A">
            <w:pPr>
              <w:tabs>
                <w:tab w:val="left" w:pos="567"/>
              </w:tabs>
              <w:spacing w:after="0" w:line="240" w:lineRule="auto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t>Ostalo (prema mišljenju predlagatelja)</w:t>
            </w:r>
          </w:p>
        </w:tc>
        <w:tc>
          <w:tcPr>
            <w:tcW w:w="7552" w:type="dxa"/>
            <w:gridSpan w:val="12"/>
            <w:tcBorders>
              <w:bottom w:val="single" w:sz="12" w:space="0" w:color="auto"/>
              <w:right w:val="single" w:sz="12" w:space="0" w:color="auto"/>
            </w:tcBorders>
            <w:tcMar>
              <w:left w:w="57" w:type="dxa"/>
              <w:right w:w="57" w:type="dxa"/>
            </w:tcMar>
          </w:tcPr>
          <w:p w:rsidR="009F6A6B" w:rsidRPr="00A13323" w:rsidRDefault="001E17D6" w:rsidP="005F5D8A">
            <w:pPr>
              <w:tabs>
                <w:tab w:val="left" w:pos="2820"/>
              </w:tabs>
              <w:spacing w:after="0"/>
              <w:rPr>
                <w:rFonts w:ascii="Arial" w:hAnsi="Arial" w:cs="Arial"/>
                <w:sz w:val="20"/>
                <w:szCs w:val="20"/>
              </w:rPr>
            </w:pPr>
            <w:r w:rsidRPr="00A13323">
              <w:rPr>
                <w:rFonts w:ascii="Arial" w:hAnsi="Arial" w:cs="Arial"/>
                <w:sz w:val="20"/>
                <w:szCs w:val="20"/>
              </w:rPr>
              <w:fldChar w:fldCharType="begin">
                <w:ffData>
                  <w:name w:val="Text1"/>
                  <w:enabled/>
                  <w:calcOnExit w:val="0"/>
                  <w:textInput/>
                </w:ffData>
              </w:fldChar>
            </w:r>
            <w:r w:rsidR="009F6A6B" w:rsidRPr="00A13323">
              <w:rPr>
                <w:rFonts w:ascii="Arial" w:hAnsi="Arial" w:cs="Arial"/>
                <w:sz w:val="20"/>
                <w:szCs w:val="20"/>
              </w:rPr>
              <w:instrText xml:space="preserve"> FORMTEXT </w:instrText>
            </w:r>
            <w:r w:rsidRPr="00A13323">
              <w:rPr>
                <w:rFonts w:ascii="Arial" w:hAnsi="Arial" w:cs="Arial"/>
                <w:sz w:val="20"/>
                <w:szCs w:val="20"/>
              </w:rPr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separate"/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="009F6A6B" w:rsidRPr="00A13323">
              <w:rPr>
                <w:rFonts w:ascii="Arial" w:hAnsi="Arial" w:cs="Arial"/>
                <w:noProof/>
                <w:sz w:val="20"/>
                <w:szCs w:val="20"/>
              </w:rPr>
              <w:t> </w:t>
            </w:r>
            <w:r w:rsidRPr="00A13323">
              <w:rPr>
                <w:rFonts w:ascii="Arial" w:hAnsi="Arial" w:cs="Arial"/>
                <w:sz w:val="20"/>
                <w:szCs w:val="20"/>
              </w:rPr>
              <w:fldChar w:fldCharType="end"/>
            </w:r>
          </w:p>
        </w:tc>
      </w:tr>
    </w:tbl>
    <w:p w:rsidR="0007423E" w:rsidRDefault="0007423E"/>
    <w:sectPr w:rsidR="0007423E" w:rsidSect="0007423E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D4CA7" w:rsidRDefault="00DD4CA7" w:rsidP="009F6A6B">
      <w:pPr>
        <w:spacing w:after="0" w:line="240" w:lineRule="auto"/>
      </w:pPr>
      <w:r>
        <w:separator/>
      </w:r>
    </w:p>
  </w:endnote>
  <w:endnote w:type="continuationSeparator" w:id="0">
    <w:p w:rsidR="00DD4CA7" w:rsidRDefault="00DD4CA7" w:rsidP="009F6A6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10002FF" w:usb1="4000ACFF" w:usb2="00000009" w:usb3="00000000" w:csb0="0000019F" w:csb1="00000000"/>
  </w:font>
  <w:font w:name="Comic Sans MS">
    <w:panose1 w:val="030F0702030302020204"/>
    <w:charset w:val="EE"/>
    <w:family w:val="script"/>
    <w:pitch w:val="variable"/>
    <w:sig w:usb0="00000287" w:usb1="00000013" w:usb2="00000000" w:usb3="00000000" w:csb0="0000009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D4CA7" w:rsidRDefault="00DD4CA7" w:rsidP="009F6A6B">
      <w:pPr>
        <w:spacing w:after="0" w:line="240" w:lineRule="auto"/>
      </w:pPr>
      <w:r>
        <w:separator/>
      </w:r>
    </w:p>
  </w:footnote>
  <w:footnote w:type="continuationSeparator" w:id="0">
    <w:p w:rsidR="00DD4CA7" w:rsidRDefault="00DD4CA7" w:rsidP="009F6A6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F343382"/>
    <w:multiLevelType w:val="hybridMultilevel"/>
    <w:tmpl w:val="4F8AC2D6"/>
    <w:lvl w:ilvl="0" w:tplc="6D62CB64">
      <w:start w:val="1"/>
      <w:numFmt w:val="bullet"/>
      <w:lvlText w:val="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707A724C" w:tentative="1">
      <w:start w:val="1"/>
      <w:numFmt w:val="bullet"/>
      <w:lvlText w:val="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30D082" w:tentative="1">
      <w:start w:val="1"/>
      <w:numFmt w:val="bullet"/>
      <w:lvlText w:val="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9C82D71A" w:tentative="1">
      <w:start w:val="1"/>
      <w:numFmt w:val="bullet"/>
      <w:lvlText w:val="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A27E32BE" w:tentative="1">
      <w:start w:val="1"/>
      <w:numFmt w:val="bullet"/>
      <w:lvlText w:val="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FBBE4924" w:tentative="1">
      <w:start w:val="1"/>
      <w:numFmt w:val="bullet"/>
      <w:lvlText w:val="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425632DE" w:tentative="1">
      <w:start w:val="1"/>
      <w:numFmt w:val="bullet"/>
      <w:lvlText w:val="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D2F0EEC8" w:tentative="1">
      <w:start w:val="1"/>
      <w:numFmt w:val="bullet"/>
      <w:lvlText w:val="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0B981556" w:tentative="1">
      <w:start w:val="1"/>
      <w:numFmt w:val="bullet"/>
      <w:lvlText w:val="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">
    <w:nsid w:val="659C6593"/>
    <w:multiLevelType w:val="hybridMultilevel"/>
    <w:tmpl w:val="26700E9E"/>
    <w:lvl w:ilvl="0" w:tplc="041A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A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A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A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A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A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A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A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A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">
    <w:nsid w:val="69C9162D"/>
    <w:multiLevelType w:val="multilevel"/>
    <w:tmpl w:val="DAE2A67C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  <w:color w:val="000000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  <w:color w:val="000000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  <w:color w:val="000000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  <w:color w:val="000000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  <w:color w:val="000000"/>
      </w:rPr>
    </w:lvl>
  </w:abstractNum>
  <w:abstractNum w:abstractNumId="3">
    <w:nsid w:val="7D4227F8"/>
    <w:multiLevelType w:val="multilevel"/>
    <w:tmpl w:val="0286237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F6A6B"/>
    <w:rsid w:val="00042A82"/>
    <w:rsid w:val="0007423E"/>
    <w:rsid w:val="001E17D6"/>
    <w:rsid w:val="00532EF1"/>
    <w:rsid w:val="00690B06"/>
    <w:rsid w:val="00713320"/>
    <w:rsid w:val="008E39BC"/>
    <w:rsid w:val="0092440A"/>
    <w:rsid w:val="00945017"/>
    <w:rsid w:val="009B372F"/>
    <w:rsid w:val="009F6A6B"/>
    <w:rsid w:val="00AA4D8A"/>
    <w:rsid w:val="00AB04EA"/>
    <w:rsid w:val="00AD1A78"/>
    <w:rsid w:val="00AF4F9F"/>
    <w:rsid w:val="00C138F5"/>
    <w:rsid w:val="00C665B8"/>
    <w:rsid w:val="00D64899"/>
    <w:rsid w:val="00DD4CA7"/>
    <w:rsid w:val="00E21143"/>
    <w:rsid w:val="00EE6B9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9F6A6B"/>
    <w:rPr>
      <w:rFonts w:ascii="Calibri" w:eastAsia="Calibri" w:hAnsi="Calibri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FieldText">
    <w:name w:val="Field Text"/>
    <w:basedOn w:val="Normal"/>
    <w:rsid w:val="009F6A6B"/>
    <w:pPr>
      <w:spacing w:after="0" w:line="240" w:lineRule="auto"/>
    </w:pPr>
    <w:rPr>
      <w:rFonts w:ascii="Times New Roman" w:eastAsia="Times New Roman" w:hAnsi="Times New Roman"/>
      <w:b/>
      <w:sz w:val="19"/>
      <w:szCs w:val="19"/>
      <w:lang w:val="en-US" w:eastAsia="hr-HR"/>
    </w:rPr>
  </w:style>
  <w:style w:type="character" w:styleId="Strong">
    <w:name w:val="Strong"/>
    <w:basedOn w:val="DefaultParagraphFont"/>
    <w:uiPriority w:val="22"/>
    <w:qFormat/>
    <w:rsid w:val="009F6A6B"/>
    <w:rPr>
      <w:rFonts w:cs="Times New Roman"/>
      <w:b/>
      <w:bCs/>
    </w:rPr>
  </w:style>
  <w:style w:type="paragraph" w:customStyle="1" w:styleId="Default">
    <w:name w:val="Default"/>
    <w:rsid w:val="009F6A6B"/>
    <w:pPr>
      <w:autoSpaceDE w:val="0"/>
      <w:autoSpaceDN w:val="0"/>
      <w:adjustRightInd w:val="0"/>
      <w:spacing w:after="0" w:line="240" w:lineRule="auto"/>
    </w:pPr>
    <w:rPr>
      <w:rFonts w:ascii="Comic Sans MS" w:eastAsia="Times New Roman" w:hAnsi="Comic Sans MS" w:cs="Comic Sans MS"/>
      <w:color w:val="000000"/>
      <w:sz w:val="24"/>
      <w:szCs w:val="24"/>
      <w:lang w:eastAsia="hr-HR"/>
    </w:rPr>
  </w:style>
  <w:style w:type="character" w:customStyle="1" w:styleId="BodyText1">
    <w:name w:val="Body Text1"/>
    <w:basedOn w:val="DefaultParagraphFont"/>
    <w:rsid w:val="009F6A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5"/>
      <w:szCs w:val="15"/>
      <w:u w:val="none"/>
      <w:lang w:val="hr-HR"/>
    </w:rPr>
  </w:style>
  <w:style w:type="character" w:customStyle="1" w:styleId="Bodytext65pt">
    <w:name w:val="Body text + 6;5 pt"/>
    <w:basedOn w:val="DefaultParagraphFont"/>
    <w:rsid w:val="009F6A6B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13"/>
      <w:szCs w:val="13"/>
      <w:u w:val="none"/>
      <w:lang w:val="hr-HR"/>
    </w:rPr>
  </w:style>
  <w:style w:type="paragraph" w:styleId="Header">
    <w:name w:val="header"/>
    <w:basedOn w:val="Normal"/>
    <w:link w:val="HeaderChar"/>
    <w:uiPriority w:val="99"/>
    <w:semiHidden/>
    <w:unhideWhenUsed/>
    <w:rsid w:val="009F6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9F6A6B"/>
    <w:rPr>
      <w:rFonts w:ascii="Calibri" w:eastAsia="Calibri" w:hAnsi="Calibri" w:cs="Times New Roman"/>
    </w:rPr>
  </w:style>
  <w:style w:type="paragraph" w:styleId="Footer">
    <w:name w:val="footer"/>
    <w:basedOn w:val="Normal"/>
    <w:link w:val="FooterChar"/>
    <w:uiPriority w:val="99"/>
    <w:semiHidden/>
    <w:unhideWhenUsed/>
    <w:rsid w:val="009F6A6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9F6A6B"/>
    <w:rPr>
      <w:rFonts w:ascii="Calibri" w:eastAsia="Calibri" w:hAnsi="Calibri" w:cs="Times New Roman"/>
    </w:rPr>
  </w:style>
  <w:style w:type="character" w:styleId="Hyperlink">
    <w:name w:val="Hyperlink"/>
    <w:basedOn w:val="DefaultParagraphFont"/>
    <w:uiPriority w:val="99"/>
    <w:unhideWhenUsed/>
    <w:rsid w:val="00AA4D8A"/>
    <w:rPr>
      <w:color w:val="0000FF" w:themeColor="hyperlink"/>
      <w:u w:val="single"/>
    </w:rPr>
  </w:style>
  <w:style w:type="paragraph" w:styleId="ListParagraph">
    <w:name w:val="List Paragraph"/>
    <w:basedOn w:val="Normal"/>
    <w:uiPriority w:val="34"/>
    <w:qFormat/>
    <w:rsid w:val="00AA4D8A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71332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713320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europa.eu.int/comm/regional_policy/intro/regions.._en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1077</Words>
  <Characters>6144</Characters>
  <Application>Microsoft Office Word</Application>
  <DocSecurity>0</DocSecurity>
  <Lines>51</Lines>
  <Paragraphs>14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7207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sumic</dc:creator>
  <cp:lastModifiedBy>sumic</cp:lastModifiedBy>
  <cp:revision>3</cp:revision>
  <cp:lastPrinted>2018-06-27T14:28:00Z</cp:lastPrinted>
  <dcterms:created xsi:type="dcterms:W3CDTF">2018-06-28T07:18:00Z</dcterms:created>
  <dcterms:modified xsi:type="dcterms:W3CDTF">2018-06-29T06:50:00Z</dcterms:modified>
</cp:coreProperties>
</file>